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3C22DB" w:rsidTr="002D07D2">
        <w:tc>
          <w:tcPr>
            <w:tcW w:w="9640" w:type="dxa"/>
          </w:tcPr>
          <w:p w:rsidR="003C22DB" w:rsidRPr="0014689D" w:rsidRDefault="003C22DB" w:rsidP="0008546B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bookmarkStart w:id="0" w:name="_Hlk109148738"/>
            <w:bookmarkStart w:id="1" w:name="_GoBack"/>
            <w:bookmarkEnd w:id="1"/>
            <w:r w:rsidRPr="0014689D">
              <w:rPr>
                <w:rFonts w:ascii="Garamond" w:hAnsi="Garamond" w:cs="Calibri"/>
                <w:b/>
                <w:bCs/>
                <w:color w:val="000000"/>
              </w:rPr>
              <w:t>Qu’est-ce que la thérapie comportementale dialectique</w:t>
            </w:r>
            <w:r w:rsidR="00C43FDA">
              <w:rPr>
                <w:rFonts w:ascii="Garamond" w:hAnsi="Garamond" w:cs="Calibri"/>
                <w:b/>
                <w:bCs/>
                <w:color w:val="000000"/>
              </w:rPr>
              <w:t xml:space="preserve"> (TCD)</w:t>
            </w:r>
            <w:r w:rsidRPr="0014689D">
              <w:rPr>
                <w:rFonts w:ascii="Garamond" w:hAnsi="Garamond" w:cs="Calibri"/>
                <w:b/>
                <w:bCs/>
                <w:color w:val="000000"/>
              </w:rPr>
              <w:t>?</w:t>
            </w:r>
          </w:p>
        </w:tc>
      </w:tr>
      <w:tr w:rsidR="003C22DB" w:rsidTr="002D07D2">
        <w:tc>
          <w:tcPr>
            <w:tcW w:w="9640" w:type="dxa"/>
          </w:tcPr>
          <w:p w:rsidR="00C43FDA" w:rsidRDefault="00C43FDA" w:rsidP="0008546B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  <w:p w:rsidR="003C22DB" w:rsidRDefault="003C22DB" w:rsidP="0008546B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>La TCD est destinée aux personnes qui éprouvent des difficultés à réguler leurs émotions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, c’est-à-dire qui présentent </w:t>
            </w: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des réactions intenses et persistantes aux événements 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et </w:t>
            </w:r>
            <w:r w:rsidR="00C43FD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donc </w:t>
            </w: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une difficulté à moduler l’intensité et la durée des émotions. 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Non seulement la TCD </w:t>
            </w: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vous donnera des outils pour mieux gérer 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les émotions qui vous font souffrir (comme les accès de colère, de tristesse, d’anxiété, de culpabilité ou de honte), mais elle vous aidera à développer des réponses alternatives aux comportements nocifs souvent associés à cette souffrance (les comportements </w:t>
            </w: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>impulsi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fs</w:t>
            </w: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les comportements d’</w:t>
            </w:r>
            <w:proofErr w:type="spellStart"/>
            <w:r>
              <w:rPr>
                <w:rFonts w:ascii="Garamond" w:hAnsi="Garamond" w:cs="Calibri"/>
                <w:color w:val="000000"/>
                <w:sz w:val="22"/>
                <w:szCs w:val="22"/>
              </w:rPr>
              <w:t>auto-mutilation</w:t>
            </w:r>
            <w:proofErr w:type="spellEnd"/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, </w:t>
            </w: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>les difficultés alimentaires, l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a consommation abusive d’alcool ou de drogues, ou encore les difficultés interpersonnelles). Bref, elle </w:t>
            </w: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vous aidera à bâtir une vie qui vaut la peine d’être vécue. </w:t>
            </w:r>
          </w:p>
          <w:p w:rsidR="003C22DB" w:rsidRPr="0014689D" w:rsidRDefault="003C22DB" w:rsidP="0008546B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  <w:p w:rsidR="003C22DB" w:rsidRDefault="003C22DB" w:rsidP="003C22DB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La TCD 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est une thérapie </w:t>
            </w:r>
            <w:proofErr w:type="spellStart"/>
            <w:r>
              <w:rPr>
                <w:rFonts w:ascii="Garamond" w:hAnsi="Garamond" w:cs="Calibri"/>
                <w:color w:val="000000"/>
                <w:sz w:val="22"/>
                <w:szCs w:val="22"/>
              </w:rPr>
              <w:t>cognitivo</w:t>
            </w:r>
            <w:proofErr w:type="spellEnd"/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-comportementale qui </w:t>
            </w: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>a été développée pour les personnes qui présentaient des idées suicidaires récurrentes et qui répondaient aux critères du trouble de la personnalité limite (TPL)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. Plusieurs </w:t>
            </w: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études ont démontré 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son efficacité pour </w:t>
            </w: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réduire les comportements suicidaires, l'automutilation, l'impulsivité, les difficultés interpersonnelles et 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pour a</w:t>
            </w: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méliorer le fonctionnement social.  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Depuis lors, on a découvert que la TCD </w:t>
            </w: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>peut également être utile pour le traitement du trouble bipolaire, de la dépression, de certains troubles alimentaires, des troubles liés à l’usage de substances, du stress post-traumatique et du TDAH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.</w:t>
            </w:r>
          </w:p>
          <w:p w:rsidR="002D07D2" w:rsidRPr="0014689D" w:rsidRDefault="002D07D2" w:rsidP="00C43FDA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3C22DB" w:rsidTr="002D07D2">
        <w:tc>
          <w:tcPr>
            <w:tcW w:w="9640" w:type="dxa"/>
          </w:tcPr>
          <w:p w:rsidR="003C22DB" w:rsidRPr="0014689D" w:rsidRDefault="003C22DB" w:rsidP="0008546B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14689D">
              <w:rPr>
                <w:rFonts w:ascii="Garamond" w:hAnsi="Garamond" w:cs="Calibri"/>
                <w:b/>
                <w:bCs/>
                <w:color w:val="000000"/>
              </w:rPr>
              <w:t>Que vais-je apprendre?</w:t>
            </w:r>
          </w:p>
        </w:tc>
      </w:tr>
      <w:tr w:rsidR="003C22DB" w:rsidTr="002D07D2">
        <w:tc>
          <w:tcPr>
            <w:tcW w:w="9640" w:type="dxa"/>
          </w:tcPr>
          <w:p w:rsidR="002D07D2" w:rsidRDefault="002D07D2" w:rsidP="0008546B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  <w:p w:rsidR="003C22DB" w:rsidRDefault="003C22DB" w:rsidP="0008546B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La TCD vise à diminuer la souffrance émotionnelle. C’est une approche structurée qui inclue un focus sur les pensées, les émotions, les comportements. Elle enseigne des compétences spécifiques qui permettent à l’individu de mieux se comprendre 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et à composer </w:t>
            </w: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de façon plus habile avec le </w:t>
            </w:r>
            <w:r w:rsidRPr="003C22DB">
              <w:rPr>
                <w:rFonts w:ascii="Garamond" w:hAnsi="Garamond" w:cs="Calibri"/>
                <w:color w:val="000000"/>
                <w:sz w:val="22"/>
                <w:szCs w:val="22"/>
              </w:rPr>
              <w:t>monde qui l’entoure</w:t>
            </w: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>.</w:t>
            </w:r>
          </w:p>
          <w:p w:rsidR="00082BA6" w:rsidRDefault="00082BA6" w:rsidP="0008546B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  <w:p w:rsidR="00082BA6" w:rsidRDefault="00082BA6" w:rsidP="0008546B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Le programme est divisé en quatre modules et chacun de </w:t>
            </w:r>
            <w:r w:rsidR="00C43FDA">
              <w:rPr>
                <w:rFonts w:ascii="Garamond" w:hAnsi="Garamond" w:cs="Calibri"/>
                <w:color w:val="000000"/>
                <w:sz w:val="22"/>
                <w:szCs w:val="22"/>
              </w:rPr>
              <w:t>ces modules visent à enseigner d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es compétences spécifiques qui seront vues lors des rencontres de groupe : </w:t>
            </w:r>
          </w:p>
          <w:p w:rsidR="00082BA6" w:rsidRPr="0014689D" w:rsidRDefault="00082BA6" w:rsidP="0008546B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  <w:p w:rsidR="003C22DB" w:rsidRDefault="003C22DB" w:rsidP="0008546B">
            <w:pPr>
              <w:pStyle w:val="xmsonormal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Le module sur la </w:t>
            </w:r>
            <w:r w:rsidRPr="0014689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pleine conscience</w:t>
            </w: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est conçu pour vous apprendre à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diriger votre attention sur le moment présent</w:t>
            </w:r>
            <w:r w:rsidR="00C43FDA">
              <w:rPr>
                <w:rFonts w:ascii="Garamond" w:hAnsi="Garamond" w:cs="Calibri"/>
                <w:color w:val="000000"/>
                <w:sz w:val="22"/>
                <w:szCs w:val="22"/>
              </w:rPr>
              <w:t>,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de façon à vous permettre d’être conscient de vos émotions, vos pensées et vos réactions. </w:t>
            </w: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</w:p>
          <w:p w:rsidR="002D07D2" w:rsidRDefault="002D07D2" w:rsidP="002D07D2">
            <w:pPr>
              <w:pStyle w:val="xmsonormal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  <w:p w:rsidR="00082BA6" w:rsidRDefault="00082BA6" w:rsidP="0008546B">
            <w:pPr>
              <w:pStyle w:val="xmsonormal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Le module sur la </w:t>
            </w:r>
            <w:r w:rsidRPr="0014689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tolérance à la détresse</w:t>
            </w: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enseigne 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à mieux tolérer les émotions et situations difficiles sans avoir recours à des comportements qui peuvent être dommageables à long terme.</w:t>
            </w:r>
          </w:p>
          <w:p w:rsidR="002D07D2" w:rsidRDefault="002D07D2" w:rsidP="002D07D2">
            <w:pPr>
              <w:pStyle w:val="Paragraphedeliste"/>
              <w:rPr>
                <w:rFonts w:ascii="Garamond" w:hAnsi="Garamond" w:cs="Calibri"/>
                <w:color w:val="000000"/>
              </w:rPr>
            </w:pPr>
          </w:p>
          <w:p w:rsidR="003C22DB" w:rsidRDefault="003C22DB" w:rsidP="0008546B">
            <w:pPr>
              <w:pStyle w:val="xmsonormal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Le module sur la </w:t>
            </w:r>
            <w:r w:rsidRPr="0014689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régulation des émotions</w:t>
            </w: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="00082BA6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vous permettra </w:t>
            </w: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d'apprendre à reconnaître et à comprendre </w:t>
            </w:r>
            <w:r w:rsidR="00082BA6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vos émotions, à </w:t>
            </w:r>
            <w:r w:rsidR="00DA42E6">
              <w:rPr>
                <w:rFonts w:ascii="Garamond" w:hAnsi="Garamond" w:cs="Calibri"/>
                <w:color w:val="000000"/>
                <w:sz w:val="22"/>
                <w:szCs w:val="22"/>
              </w:rPr>
              <w:t>réagir de façon moins intense aux différentes situations. Ceci devrait vous permettre d’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apprivoiser progressivement le monde des émotions sans en avoir peur.</w:t>
            </w:r>
          </w:p>
          <w:p w:rsidR="002D07D2" w:rsidRDefault="002D07D2" w:rsidP="002D07D2">
            <w:pPr>
              <w:pStyle w:val="Paragraphedeliste"/>
              <w:rPr>
                <w:rFonts w:ascii="Garamond" w:hAnsi="Garamond" w:cs="Calibri"/>
                <w:color w:val="000000"/>
              </w:rPr>
            </w:pPr>
          </w:p>
          <w:p w:rsidR="003C22DB" w:rsidRPr="002D07D2" w:rsidRDefault="003C22DB" w:rsidP="00DA42E6">
            <w:pPr>
              <w:pStyle w:val="xmsonormal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 w:cs="Calibri"/>
                <w:strike/>
                <w:color w:val="000000"/>
                <w:sz w:val="22"/>
                <w:szCs w:val="22"/>
              </w:rPr>
            </w:pP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>Le module sur l’</w:t>
            </w:r>
            <w:r w:rsidRPr="0014689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efficacité interpersonnelle</w:t>
            </w: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enseigne des stratégies visant à améliorer votre communication afin de favoriser des relations saines. Vous apprendrez à demander ce dont vous avez besoin, à dire non, à mettre des limites et à gérer les conflits interpersonnels </w:t>
            </w:r>
            <w:r w:rsidRPr="00DA42E6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Vous apprendrez </w:t>
            </w:r>
            <w:r w:rsidR="00DA42E6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également </w:t>
            </w:r>
            <w:r w:rsidRPr="00DA42E6">
              <w:rPr>
                <w:rFonts w:ascii="Garamond" w:hAnsi="Garamond" w:cs="Calibri"/>
                <w:color w:val="000000"/>
                <w:sz w:val="22"/>
                <w:szCs w:val="22"/>
              </w:rPr>
              <w:t>à</w:t>
            </w:r>
            <w:r w:rsidR="00DA42E6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vous valider vous-mêmes et à v</w:t>
            </w:r>
            <w:r w:rsidRPr="00DA42E6">
              <w:rPr>
                <w:rFonts w:ascii="Garamond" w:hAnsi="Garamond" w:cs="Calibri"/>
                <w:color w:val="000000"/>
                <w:sz w:val="22"/>
                <w:szCs w:val="22"/>
              </w:rPr>
              <w:t>ous remettre plus rapidement de l’invalidation</w:t>
            </w:r>
            <w:r w:rsidR="00DA42E6">
              <w:rPr>
                <w:rFonts w:ascii="Garamond" w:hAnsi="Garamond" w:cs="Calibri"/>
                <w:color w:val="000000"/>
                <w:sz w:val="22"/>
                <w:szCs w:val="22"/>
              </w:rPr>
              <w:t>.</w:t>
            </w:r>
          </w:p>
          <w:p w:rsidR="002D07D2" w:rsidRPr="00A22FF4" w:rsidRDefault="002D07D2" w:rsidP="002D07D2">
            <w:pPr>
              <w:pStyle w:val="xmsonormal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Garamond" w:hAnsi="Garamond" w:cs="Calibri"/>
                <w:strike/>
                <w:color w:val="000000"/>
                <w:sz w:val="22"/>
                <w:szCs w:val="22"/>
              </w:rPr>
            </w:pPr>
          </w:p>
        </w:tc>
      </w:tr>
      <w:tr w:rsidR="003C22DB" w:rsidTr="002D07D2">
        <w:tc>
          <w:tcPr>
            <w:tcW w:w="9640" w:type="dxa"/>
          </w:tcPr>
          <w:p w:rsidR="003C22DB" w:rsidRPr="0014689D" w:rsidRDefault="003C22DB" w:rsidP="0008546B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Garamond" w:hAnsi="Garamond" w:cs="Calibri"/>
                <w:color w:val="000000"/>
              </w:rPr>
            </w:pPr>
            <w:r w:rsidRPr="0014689D">
              <w:rPr>
                <w:rFonts w:ascii="Garamond" w:hAnsi="Garamond" w:cs="Calibri"/>
                <w:b/>
                <w:bCs/>
                <w:color w:val="000000"/>
              </w:rPr>
              <w:t>Comment vais-je apprendre?</w:t>
            </w:r>
          </w:p>
        </w:tc>
      </w:tr>
      <w:tr w:rsidR="003C22DB" w:rsidTr="002D07D2">
        <w:trPr>
          <w:trHeight w:val="605"/>
        </w:trPr>
        <w:tc>
          <w:tcPr>
            <w:tcW w:w="9640" w:type="dxa"/>
          </w:tcPr>
          <w:p w:rsidR="002D07D2" w:rsidRDefault="002D07D2" w:rsidP="00DA42E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  <w:p w:rsidR="003C22DB" w:rsidRDefault="003C22DB" w:rsidP="00DA42E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Les </w:t>
            </w:r>
            <w:r w:rsidR="00DA42E6" w:rsidRPr="00DA42E6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rencontres de </w:t>
            </w:r>
            <w:r w:rsidRPr="00DA42E6">
              <w:rPr>
                <w:rFonts w:ascii="Garamond" w:hAnsi="Garamond" w:cs="Calibri"/>
                <w:color w:val="000000"/>
                <w:sz w:val="22"/>
                <w:szCs w:val="22"/>
              </w:rPr>
              <w:t>groupes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>sont conçus pour être interacti</w:t>
            </w:r>
            <w:r w:rsidR="00DA42E6">
              <w:rPr>
                <w:rFonts w:ascii="Garamond" w:hAnsi="Garamond" w:cs="Calibri"/>
                <w:color w:val="000000"/>
                <w:sz w:val="22"/>
                <w:szCs w:val="22"/>
              </w:rPr>
              <w:t>ve</w:t>
            </w: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s, et non pour que vous écoutiez passivement l'animateur. De nouvelles compétences 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seront</w:t>
            </w: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présentées à chaque semaine et des tâches à domicile sont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assigné</w:t>
            </w:r>
            <w:r w:rsidR="00DA42E6">
              <w:rPr>
                <w:rFonts w:ascii="Garamond" w:hAnsi="Garamond" w:cs="Calibri"/>
                <w:color w:val="000000"/>
                <w:sz w:val="22"/>
                <w:szCs w:val="22"/>
              </w:rPr>
              <w:t>e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s aux participants pour qu’ils puissent </w:t>
            </w:r>
            <w:r w:rsidR="00DA42E6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les 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pratiquer</w:t>
            </w:r>
            <w:r w:rsidR="00DA42E6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Vous serez donc invités à apporter des situations tirées de votre vie personnelle lors des tâches à domicile et celles-ci </w:t>
            </w:r>
            <w:r w:rsidR="00DA42E6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pourront être 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révisées à la rencontre suivante de façon à s’assurer de leur maîtrise</w:t>
            </w:r>
            <w:r w:rsidR="00DA42E6">
              <w:rPr>
                <w:rFonts w:ascii="Garamond" w:hAnsi="Garamond" w:cs="Calibri"/>
                <w:color w:val="000000"/>
                <w:sz w:val="22"/>
                <w:szCs w:val="22"/>
              </w:rPr>
              <w:t>.</w:t>
            </w: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="002D07D2">
              <w:rPr>
                <w:rFonts w:ascii="Garamond" w:hAnsi="Garamond" w:cs="Calibri"/>
                <w:color w:val="000000"/>
                <w:sz w:val="22"/>
                <w:szCs w:val="22"/>
              </w:rPr>
              <w:t>Comme c’est le cas pour n’importe quel apprentissage, la pratique régulière est essentielle pour le développement de ces habiletés.</w:t>
            </w:r>
          </w:p>
          <w:p w:rsidR="00C43FDA" w:rsidRDefault="00C43FDA" w:rsidP="00DA42E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  <w:p w:rsidR="00C43FDA" w:rsidRDefault="00C43FDA" w:rsidP="00C43FDA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Les animateurs de groupe se réunissent chaque semaine et travaillent en 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équipe</w:t>
            </w: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pour s'assurer qu'ils appliquent la TCD de manière appropriée et pour vous aider à tirer le meilleur parti du programme. Ils peuvent aussi consulter votre équipe traitante pour qu’un traitement 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sécuritaire et </w:t>
            </w:r>
            <w:r w:rsidRPr="0014689D">
              <w:rPr>
                <w:rFonts w:ascii="Garamond" w:hAnsi="Garamond" w:cs="Calibri"/>
                <w:color w:val="000000"/>
                <w:sz w:val="22"/>
                <w:szCs w:val="22"/>
              </w:rPr>
              <w:t>adapté à votre condition vous soit offert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.</w:t>
            </w:r>
          </w:p>
          <w:p w:rsidR="00C43FDA" w:rsidRPr="0014689D" w:rsidRDefault="00C43FDA" w:rsidP="00DA42E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bookmarkEnd w:id="0"/>
    </w:tbl>
    <w:p w:rsidR="00536EC2" w:rsidRPr="003C22DB" w:rsidRDefault="00536EC2" w:rsidP="002D07D2"/>
    <w:sectPr w:rsidR="00536EC2" w:rsidRPr="003C22DB" w:rsidSect="00C43FDA">
      <w:pgSz w:w="12240" w:h="15840"/>
      <w:pgMar w:top="993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13524"/>
    <w:multiLevelType w:val="hybridMultilevel"/>
    <w:tmpl w:val="EA844B1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DB"/>
    <w:rsid w:val="00082BA6"/>
    <w:rsid w:val="001A298F"/>
    <w:rsid w:val="002D07D2"/>
    <w:rsid w:val="003C22DB"/>
    <w:rsid w:val="00536EC2"/>
    <w:rsid w:val="00C43FDA"/>
    <w:rsid w:val="00D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37424-E573-4CE5-A702-2D035190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2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3C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2D0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NIM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Turcotte, Julie</dc:creator>
  <cp:keywords/>
  <dc:description/>
  <cp:lastModifiedBy>Ngo, Thanh-Lan</cp:lastModifiedBy>
  <cp:revision>2</cp:revision>
  <dcterms:created xsi:type="dcterms:W3CDTF">2022-08-25T15:30:00Z</dcterms:created>
  <dcterms:modified xsi:type="dcterms:W3CDTF">2022-08-25T15:30:00Z</dcterms:modified>
</cp:coreProperties>
</file>